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A3" w:rsidRPr="00E55EF1" w:rsidRDefault="00BA3E31" w:rsidP="00BA3E31">
      <w:pPr>
        <w:jc w:val="center"/>
        <w:rPr>
          <w:rFonts w:ascii="Bookman Old Style" w:eastAsia="Batang" w:hAnsi="Bookman Old Style"/>
          <w:b/>
          <w:sz w:val="52"/>
          <w:szCs w:val="52"/>
        </w:rPr>
      </w:pPr>
      <w:r w:rsidRPr="00E55EF1">
        <w:rPr>
          <w:rFonts w:ascii="Bookman Old Style" w:eastAsia="Batang" w:hAnsi="Bookman Old Style"/>
          <w:b/>
          <w:sz w:val="52"/>
          <w:szCs w:val="52"/>
        </w:rPr>
        <w:t xml:space="preserve">College and Career Readiness </w:t>
      </w:r>
    </w:p>
    <w:p w:rsidR="00BA3E31" w:rsidRDefault="00BA3E31" w:rsidP="00E55EF1">
      <w:pPr>
        <w:jc w:val="center"/>
      </w:pPr>
      <w:r w:rsidRPr="00E55EF1">
        <w:rPr>
          <w:rFonts w:ascii="Bookman Old Style" w:eastAsia="Batang" w:hAnsi="Bookman Old Style"/>
          <w:b/>
          <w:sz w:val="52"/>
          <w:szCs w:val="52"/>
        </w:rPr>
        <w:t>for ALL FCHS Students</w:t>
      </w:r>
    </w:p>
    <w:tbl>
      <w:tblPr>
        <w:tblStyle w:val="TableGrid"/>
        <w:tblW w:w="0" w:type="auto"/>
        <w:tblLook w:val="04A0"/>
      </w:tblPr>
      <w:tblGrid>
        <w:gridCol w:w="3258"/>
        <w:gridCol w:w="1783"/>
        <w:gridCol w:w="15"/>
        <w:gridCol w:w="2432"/>
        <w:gridCol w:w="1842"/>
        <w:gridCol w:w="3023"/>
      </w:tblGrid>
      <w:tr w:rsidR="00BA3E31" w:rsidTr="00A316A3">
        <w:tc>
          <w:tcPr>
            <w:tcW w:w="3258" w:type="dxa"/>
            <w:shd w:val="clear" w:color="auto" w:fill="92D050"/>
          </w:tcPr>
          <w:p w:rsidR="00BA3E31" w:rsidRPr="00E55EF1" w:rsidRDefault="00BA3E31" w:rsidP="00BA3E31">
            <w:pPr>
              <w:jc w:val="center"/>
              <w:rPr>
                <w:b/>
                <w:sz w:val="24"/>
                <w:szCs w:val="24"/>
              </w:rPr>
            </w:pPr>
            <w:r w:rsidRPr="00E55EF1">
              <w:rPr>
                <w:b/>
                <w:sz w:val="24"/>
                <w:szCs w:val="24"/>
              </w:rPr>
              <w:t>College-Ready</w:t>
            </w:r>
          </w:p>
        </w:tc>
        <w:tc>
          <w:tcPr>
            <w:tcW w:w="4230" w:type="dxa"/>
            <w:gridSpan w:val="3"/>
            <w:shd w:val="clear" w:color="auto" w:fill="FFC000"/>
          </w:tcPr>
          <w:p w:rsidR="00BA3E31" w:rsidRPr="00E55EF1" w:rsidRDefault="00BA3E31" w:rsidP="00BA3E31">
            <w:pPr>
              <w:jc w:val="center"/>
              <w:rPr>
                <w:b/>
                <w:sz w:val="24"/>
                <w:szCs w:val="24"/>
              </w:rPr>
            </w:pPr>
            <w:r w:rsidRPr="00E55EF1">
              <w:rPr>
                <w:b/>
                <w:sz w:val="24"/>
                <w:szCs w:val="24"/>
              </w:rPr>
              <w:t>Career-Ready</w:t>
            </w:r>
          </w:p>
        </w:tc>
        <w:tc>
          <w:tcPr>
            <w:tcW w:w="4865" w:type="dxa"/>
            <w:gridSpan w:val="2"/>
            <w:shd w:val="clear" w:color="auto" w:fill="B8CCE4" w:themeFill="accent1" w:themeFillTint="66"/>
          </w:tcPr>
          <w:p w:rsidR="00BA3E31" w:rsidRPr="00E55EF1" w:rsidRDefault="00BA3E31" w:rsidP="00BA3E31">
            <w:pPr>
              <w:jc w:val="center"/>
              <w:rPr>
                <w:b/>
                <w:sz w:val="24"/>
                <w:szCs w:val="24"/>
              </w:rPr>
            </w:pPr>
            <w:r w:rsidRPr="00E55EF1">
              <w:rPr>
                <w:b/>
                <w:sz w:val="24"/>
                <w:szCs w:val="24"/>
              </w:rPr>
              <w:t>College &amp; Career-Ready</w:t>
            </w:r>
          </w:p>
        </w:tc>
      </w:tr>
      <w:tr w:rsidR="00BA3E31" w:rsidTr="00A316A3">
        <w:tc>
          <w:tcPr>
            <w:tcW w:w="3258" w:type="dxa"/>
            <w:shd w:val="clear" w:color="auto" w:fill="92D050"/>
          </w:tcPr>
          <w:p w:rsidR="00BA3E31" w:rsidRPr="00E55EF1" w:rsidRDefault="00BA3E31" w:rsidP="00BA3E31">
            <w:pPr>
              <w:jc w:val="center"/>
              <w:rPr>
                <w:sz w:val="24"/>
                <w:szCs w:val="24"/>
              </w:rPr>
            </w:pPr>
            <w:r w:rsidRPr="00E55EF1">
              <w:rPr>
                <w:sz w:val="24"/>
                <w:szCs w:val="24"/>
              </w:rPr>
              <w:t>(1 point)</w:t>
            </w:r>
          </w:p>
          <w:p w:rsidR="00BA3E31" w:rsidRPr="00E55EF1" w:rsidRDefault="00BA3E31" w:rsidP="00BA3E31">
            <w:pPr>
              <w:jc w:val="center"/>
              <w:rPr>
                <w:sz w:val="24"/>
                <w:szCs w:val="24"/>
              </w:rPr>
            </w:pPr>
            <w:r w:rsidRPr="00E55EF1">
              <w:rPr>
                <w:sz w:val="24"/>
                <w:szCs w:val="24"/>
              </w:rPr>
              <w:t>A student must meet benchmarks on one of the following:</w:t>
            </w:r>
          </w:p>
        </w:tc>
        <w:tc>
          <w:tcPr>
            <w:tcW w:w="4230" w:type="dxa"/>
            <w:gridSpan w:val="3"/>
            <w:tcBorders>
              <w:bottom w:val="single" w:sz="4" w:space="0" w:color="auto"/>
            </w:tcBorders>
            <w:shd w:val="clear" w:color="auto" w:fill="FFC000"/>
          </w:tcPr>
          <w:p w:rsidR="00BA3E31" w:rsidRPr="00E55EF1" w:rsidRDefault="00BA3E31" w:rsidP="00BA3E31">
            <w:pPr>
              <w:jc w:val="center"/>
              <w:rPr>
                <w:sz w:val="24"/>
                <w:szCs w:val="24"/>
              </w:rPr>
            </w:pPr>
            <w:r w:rsidRPr="00E55EF1">
              <w:rPr>
                <w:sz w:val="24"/>
                <w:szCs w:val="24"/>
              </w:rPr>
              <w:t>(1 point)</w:t>
            </w:r>
          </w:p>
          <w:p w:rsidR="00BA3E31" w:rsidRPr="00E55EF1" w:rsidRDefault="00BA3E31" w:rsidP="00BA3E31">
            <w:pPr>
              <w:jc w:val="center"/>
              <w:rPr>
                <w:sz w:val="24"/>
                <w:szCs w:val="24"/>
              </w:rPr>
            </w:pPr>
            <w:r w:rsidRPr="00E55EF1">
              <w:rPr>
                <w:sz w:val="24"/>
                <w:szCs w:val="24"/>
              </w:rPr>
              <w:t xml:space="preserve">A student must meet benchmarks on one from </w:t>
            </w:r>
            <w:r w:rsidRPr="00E55EF1">
              <w:rPr>
                <w:b/>
                <w:sz w:val="24"/>
                <w:szCs w:val="24"/>
              </w:rPr>
              <w:t>EACH</w:t>
            </w:r>
            <w:r w:rsidRPr="00E55EF1">
              <w:rPr>
                <w:sz w:val="24"/>
                <w:szCs w:val="24"/>
              </w:rPr>
              <w:t xml:space="preserve"> of the following columns:</w:t>
            </w:r>
          </w:p>
        </w:tc>
        <w:tc>
          <w:tcPr>
            <w:tcW w:w="4865" w:type="dxa"/>
            <w:gridSpan w:val="2"/>
            <w:shd w:val="clear" w:color="auto" w:fill="B8CCE4" w:themeFill="accent1" w:themeFillTint="66"/>
          </w:tcPr>
          <w:p w:rsidR="00BA3E31" w:rsidRPr="00E55EF1" w:rsidRDefault="00BA3E31" w:rsidP="00BA3E31">
            <w:pPr>
              <w:jc w:val="center"/>
              <w:rPr>
                <w:sz w:val="24"/>
                <w:szCs w:val="24"/>
              </w:rPr>
            </w:pPr>
            <w:r w:rsidRPr="00E55EF1">
              <w:rPr>
                <w:sz w:val="24"/>
                <w:szCs w:val="24"/>
              </w:rPr>
              <w:t>(1.5 Points)</w:t>
            </w:r>
          </w:p>
          <w:p w:rsidR="00BA3E31" w:rsidRPr="00E55EF1" w:rsidRDefault="00BA3E31" w:rsidP="00BA3E31">
            <w:pPr>
              <w:jc w:val="center"/>
              <w:rPr>
                <w:sz w:val="24"/>
                <w:szCs w:val="24"/>
              </w:rPr>
            </w:pPr>
            <w:r w:rsidRPr="00E55EF1">
              <w:rPr>
                <w:sz w:val="24"/>
                <w:szCs w:val="24"/>
              </w:rPr>
              <w:t xml:space="preserve">A student must meet benchmarks on one from </w:t>
            </w:r>
            <w:r w:rsidRPr="00E55EF1">
              <w:rPr>
                <w:b/>
                <w:sz w:val="24"/>
                <w:szCs w:val="24"/>
              </w:rPr>
              <w:t>EACH</w:t>
            </w:r>
            <w:r w:rsidRPr="00E55EF1">
              <w:rPr>
                <w:sz w:val="24"/>
                <w:szCs w:val="24"/>
              </w:rPr>
              <w:t xml:space="preserve"> of the following </w:t>
            </w:r>
            <w:r w:rsidRPr="00487B30">
              <w:rPr>
                <w:sz w:val="24"/>
                <w:szCs w:val="24"/>
              </w:rPr>
              <w:t>columns</w:t>
            </w:r>
            <w:r w:rsidRPr="00E55EF1">
              <w:rPr>
                <w:sz w:val="24"/>
                <w:szCs w:val="24"/>
              </w:rPr>
              <w:t>:</w:t>
            </w:r>
          </w:p>
        </w:tc>
        <w:bookmarkStart w:id="0" w:name="_GoBack"/>
        <w:bookmarkEnd w:id="0"/>
      </w:tr>
      <w:tr w:rsidR="00A316A3" w:rsidRPr="00BA3E31" w:rsidTr="00A316A3">
        <w:tc>
          <w:tcPr>
            <w:tcW w:w="3258" w:type="dxa"/>
            <w:shd w:val="clear" w:color="auto" w:fill="92D050"/>
          </w:tcPr>
          <w:p w:rsidR="00A316A3" w:rsidRPr="00E55EF1" w:rsidRDefault="00A316A3" w:rsidP="00BA3E31">
            <w:pPr>
              <w:jc w:val="center"/>
              <w:rPr>
                <w:sz w:val="24"/>
                <w:szCs w:val="24"/>
              </w:rPr>
            </w:pPr>
            <w:r w:rsidRPr="00E55EF1">
              <w:rPr>
                <w:sz w:val="24"/>
                <w:szCs w:val="24"/>
              </w:rPr>
              <w:t>ACT</w:t>
            </w:r>
          </w:p>
          <w:p w:rsidR="00A316A3" w:rsidRPr="00E55EF1" w:rsidRDefault="00A316A3" w:rsidP="00BA3E31">
            <w:pPr>
              <w:jc w:val="center"/>
              <w:rPr>
                <w:sz w:val="24"/>
                <w:szCs w:val="24"/>
              </w:rPr>
            </w:pPr>
            <w:r w:rsidRPr="00E55EF1">
              <w:rPr>
                <w:sz w:val="24"/>
                <w:szCs w:val="24"/>
              </w:rPr>
              <w:t>COMPASS</w:t>
            </w:r>
          </w:p>
          <w:p w:rsidR="00A316A3" w:rsidRPr="00E55EF1" w:rsidRDefault="00A316A3" w:rsidP="00BA3E31">
            <w:pPr>
              <w:jc w:val="center"/>
              <w:rPr>
                <w:sz w:val="24"/>
                <w:szCs w:val="24"/>
              </w:rPr>
            </w:pPr>
            <w:r w:rsidRPr="00E55EF1">
              <w:rPr>
                <w:sz w:val="24"/>
                <w:szCs w:val="24"/>
              </w:rPr>
              <w:t>KYOTE</w:t>
            </w:r>
          </w:p>
        </w:tc>
        <w:tc>
          <w:tcPr>
            <w:tcW w:w="1798" w:type="dxa"/>
            <w:gridSpan w:val="2"/>
            <w:shd w:val="clear" w:color="auto" w:fill="FFC000"/>
          </w:tcPr>
          <w:p w:rsidR="00A316A3" w:rsidRPr="00E55EF1" w:rsidRDefault="00A316A3" w:rsidP="00BA3E31">
            <w:pPr>
              <w:rPr>
                <w:b/>
                <w:sz w:val="24"/>
                <w:szCs w:val="24"/>
              </w:rPr>
            </w:pPr>
            <w:r w:rsidRPr="00E55EF1">
              <w:rPr>
                <w:b/>
                <w:sz w:val="24"/>
                <w:szCs w:val="24"/>
              </w:rPr>
              <w:t>Career- Ready</w:t>
            </w:r>
          </w:p>
          <w:p w:rsidR="00A316A3" w:rsidRPr="00E55EF1" w:rsidRDefault="00A316A3" w:rsidP="00BA3E31">
            <w:pPr>
              <w:rPr>
                <w:sz w:val="24"/>
                <w:szCs w:val="24"/>
              </w:rPr>
            </w:pPr>
            <w:r w:rsidRPr="00E55EF1">
              <w:rPr>
                <w:b/>
                <w:sz w:val="24"/>
                <w:szCs w:val="24"/>
              </w:rPr>
              <w:t>Academic</w:t>
            </w:r>
          </w:p>
        </w:tc>
        <w:tc>
          <w:tcPr>
            <w:tcW w:w="2432" w:type="dxa"/>
            <w:shd w:val="clear" w:color="auto" w:fill="FFC000"/>
          </w:tcPr>
          <w:p w:rsidR="00A316A3" w:rsidRPr="00E55EF1" w:rsidRDefault="00A316A3" w:rsidP="00A316A3">
            <w:pPr>
              <w:ind w:left="177"/>
              <w:rPr>
                <w:b/>
                <w:sz w:val="24"/>
                <w:szCs w:val="24"/>
              </w:rPr>
            </w:pPr>
            <w:r w:rsidRPr="00E55EF1">
              <w:rPr>
                <w:b/>
                <w:sz w:val="24"/>
                <w:szCs w:val="24"/>
              </w:rPr>
              <w:t>Career-Ready</w:t>
            </w:r>
          </w:p>
          <w:p w:rsidR="00A316A3" w:rsidRPr="00E55EF1" w:rsidRDefault="00A316A3" w:rsidP="00A316A3">
            <w:pPr>
              <w:ind w:left="177"/>
              <w:rPr>
                <w:sz w:val="24"/>
                <w:szCs w:val="24"/>
              </w:rPr>
            </w:pPr>
            <w:r w:rsidRPr="00E55EF1">
              <w:rPr>
                <w:b/>
                <w:sz w:val="24"/>
                <w:szCs w:val="24"/>
              </w:rPr>
              <w:t>Technical</w:t>
            </w:r>
          </w:p>
        </w:tc>
        <w:tc>
          <w:tcPr>
            <w:tcW w:w="1842" w:type="dxa"/>
            <w:shd w:val="clear" w:color="auto" w:fill="B8CCE4" w:themeFill="accent1" w:themeFillTint="66"/>
          </w:tcPr>
          <w:p w:rsidR="00A316A3" w:rsidRPr="00E55EF1" w:rsidRDefault="00A316A3" w:rsidP="00BA3E31">
            <w:pPr>
              <w:rPr>
                <w:b/>
                <w:sz w:val="24"/>
                <w:szCs w:val="24"/>
              </w:rPr>
            </w:pPr>
            <w:r w:rsidRPr="00E55EF1">
              <w:rPr>
                <w:b/>
                <w:sz w:val="24"/>
                <w:szCs w:val="24"/>
              </w:rPr>
              <w:t>College-Ready</w:t>
            </w:r>
          </w:p>
          <w:p w:rsidR="00A316A3" w:rsidRPr="00E55EF1" w:rsidRDefault="00A316A3" w:rsidP="00BA3E31">
            <w:pPr>
              <w:rPr>
                <w:b/>
                <w:sz w:val="24"/>
                <w:szCs w:val="24"/>
              </w:rPr>
            </w:pPr>
            <w:r w:rsidRPr="00E55EF1">
              <w:rPr>
                <w:b/>
                <w:sz w:val="24"/>
                <w:szCs w:val="24"/>
              </w:rPr>
              <w:t>Academic</w:t>
            </w:r>
          </w:p>
        </w:tc>
        <w:tc>
          <w:tcPr>
            <w:tcW w:w="3023" w:type="dxa"/>
            <w:shd w:val="clear" w:color="auto" w:fill="B8CCE4" w:themeFill="accent1" w:themeFillTint="66"/>
          </w:tcPr>
          <w:p w:rsidR="00A316A3" w:rsidRPr="00E55EF1" w:rsidRDefault="00A316A3" w:rsidP="00A316A3">
            <w:pPr>
              <w:ind w:left="72"/>
              <w:rPr>
                <w:b/>
                <w:sz w:val="24"/>
                <w:szCs w:val="24"/>
              </w:rPr>
            </w:pPr>
            <w:r w:rsidRPr="00E55EF1">
              <w:rPr>
                <w:b/>
                <w:sz w:val="24"/>
                <w:szCs w:val="24"/>
              </w:rPr>
              <w:t>College-Ready</w:t>
            </w:r>
          </w:p>
          <w:p w:rsidR="00A316A3" w:rsidRPr="00E55EF1" w:rsidRDefault="00A316A3" w:rsidP="00A316A3">
            <w:pPr>
              <w:ind w:left="102"/>
              <w:rPr>
                <w:b/>
                <w:sz w:val="24"/>
                <w:szCs w:val="24"/>
              </w:rPr>
            </w:pPr>
            <w:r w:rsidRPr="00E55EF1">
              <w:rPr>
                <w:b/>
                <w:sz w:val="24"/>
                <w:szCs w:val="24"/>
              </w:rPr>
              <w:t>Technical</w:t>
            </w:r>
          </w:p>
        </w:tc>
      </w:tr>
      <w:tr w:rsidR="00A316A3" w:rsidTr="00A316A3">
        <w:tc>
          <w:tcPr>
            <w:tcW w:w="3258" w:type="dxa"/>
            <w:shd w:val="clear" w:color="auto" w:fill="92D050"/>
          </w:tcPr>
          <w:p w:rsidR="00A316A3" w:rsidRPr="00E55EF1" w:rsidRDefault="00A316A3" w:rsidP="00BA3E31">
            <w:pPr>
              <w:rPr>
                <w:sz w:val="24"/>
                <w:szCs w:val="24"/>
              </w:rPr>
            </w:pPr>
          </w:p>
        </w:tc>
        <w:tc>
          <w:tcPr>
            <w:tcW w:w="1783" w:type="dxa"/>
            <w:shd w:val="clear" w:color="auto" w:fill="FFC000"/>
          </w:tcPr>
          <w:p w:rsidR="00A316A3" w:rsidRPr="00E55EF1" w:rsidRDefault="00A316A3" w:rsidP="00BA3E31">
            <w:pPr>
              <w:jc w:val="center"/>
              <w:rPr>
                <w:sz w:val="24"/>
                <w:szCs w:val="24"/>
              </w:rPr>
            </w:pPr>
            <w:r w:rsidRPr="00E55EF1">
              <w:rPr>
                <w:sz w:val="24"/>
                <w:szCs w:val="24"/>
              </w:rPr>
              <w:t>ASVAB</w:t>
            </w:r>
          </w:p>
          <w:p w:rsidR="00A316A3" w:rsidRPr="00E55EF1" w:rsidRDefault="00A316A3" w:rsidP="00A316A3">
            <w:pPr>
              <w:jc w:val="center"/>
              <w:rPr>
                <w:sz w:val="24"/>
                <w:szCs w:val="24"/>
              </w:rPr>
            </w:pPr>
            <w:r w:rsidRPr="00E55EF1">
              <w:rPr>
                <w:sz w:val="24"/>
                <w:szCs w:val="24"/>
              </w:rPr>
              <w:t>WorkKeys</w:t>
            </w:r>
          </w:p>
        </w:tc>
        <w:tc>
          <w:tcPr>
            <w:tcW w:w="2447" w:type="dxa"/>
            <w:gridSpan w:val="2"/>
            <w:shd w:val="clear" w:color="auto" w:fill="FFC000"/>
          </w:tcPr>
          <w:p w:rsidR="00A316A3" w:rsidRPr="00E55EF1" w:rsidRDefault="00A316A3" w:rsidP="00A316A3">
            <w:pPr>
              <w:ind w:left="477"/>
              <w:jc w:val="center"/>
              <w:rPr>
                <w:sz w:val="24"/>
                <w:szCs w:val="24"/>
              </w:rPr>
            </w:pPr>
            <w:r w:rsidRPr="00E55EF1">
              <w:rPr>
                <w:sz w:val="24"/>
                <w:szCs w:val="24"/>
              </w:rPr>
              <w:t>KOSSA</w:t>
            </w:r>
          </w:p>
          <w:p w:rsidR="00A316A3" w:rsidRPr="00E55EF1" w:rsidRDefault="00A316A3" w:rsidP="00A316A3">
            <w:pPr>
              <w:ind w:left="402"/>
              <w:jc w:val="center"/>
              <w:rPr>
                <w:sz w:val="24"/>
                <w:szCs w:val="24"/>
              </w:rPr>
            </w:pPr>
            <w:r w:rsidRPr="00E55EF1">
              <w:rPr>
                <w:sz w:val="24"/>
                <w:szCs w:val="24"/>
              </w:rPr>
              <w:t>Industry</w:t>
            </w:r>
          </w:p>
          <w:p w:rsidR="00A316A3" w:rsidRPr="00E55EF1" w:rsidRDefault="00A316A3" w:rsidP="00A316A3">
            <w:pPr>
              <w:ind w:left="357"/>
              <w:jc w:val="center"/>
              <w:rPr>
                <w:sz w:val="24"/>
                <w:szCs w:val="24"/>
              </w:rPr>
            </w:pPr>
            <w:r w:rsidRPr="00E55EF1">
              <w:rPr>
                <w:sz w:val="24"/>
                <w:szCs w:val="24"/>
              </w:rPr>
              <w:t>Certificate</w:t>
            </w:r>
          </w:p>
        </w:tc>
        <w:tc>
          <w:tcPr>
            <w:tcW w:w="1842" w:type="dxa"/>
            <w:shd w:val="clear" w:color="auto" w:fill="B8CCE4" w:themeFill="accent1" w:themeFillTint="66"/>
          </w:tcPr>
          <w:p w:rsidR="00A316A3" w:rsidRPr="00E55EF1" w:rsidRDefault="00A316A3" w:rsidP="00BA3E31">
            <w:pPr>
              <w:rPr>
                <w:sz w:val="24"/>
                <w:szCs w:val="24"/>
              </w:rPr>
            </w:pPr>
            <w:r w:rsidRPr="00E55EF1">
              <w:rPr>
                <w:sz w:val="24"/>
                <w:szCs w:val="24"/>
              </w:rPr>
              <w:t xml:space="preserve">    ACT  COMPASS</w:t>
            </w:r>
          </w:p>
          <w:p w:rsidR="00A316A3" w:rsidRPr="00E55EF1" w:rsidRDefault="00A316A3" w:rsidP="00BA3E31">
            <w:pPr>
              <w:rPr>
                <w:sz w:val="24"/>
                <w:szCs w:val="24"/>
              </w:rPr>
            </w:pPr>
            <w:r w:rsidRPr="00E55EF1">
              <w:rPr>
                <w:sz w:val="24"/>
                <w:szCs w:val="24"/>
              </w:rPr>
              <w:t xml:space="preserve">    KYOTE</w:t>
            </w:r>
          </w:p>
        </w:tc>
        <w:tc>
          <w:tcPr>
            <w:tcW w:w="3023" w:type="dxa"/>
            <w:shd w:val="clear" w:color="auto" w:fill="B8CCE4" w:themeFill="accent1" w:themeFillTint="66"/>
          </w:tcPr>
          <w:p w:rsidR="00A316A3" w:rsidRPr="00E55EF1" w:rsidRDefault="00A316A3" w:rsidP="00A316A3">
            <w:pPr>
              <w:ind w:left="312"/>
              <w:rPr>
                <w:sz w:val="24"/>
                <w:szCs w:val="24"/>
              </w:rPr>
            </w:pPr>
            <w:r w:rsidRPr="00E55EF1">
              <w:rPr>
                <w:sz w:val="24"/>
                <w:szCs w:val="24"/>
              </w:rPr>
              <w:t>KOSSA</w:t>
            </w:r>
          </w:p>
          <w:p w:rsidR="00A316A3" w:rsidRPr="00E55EF1" w:rsidRDefault="00A316A3" w:rsidP="00A316A3">
            <w:pPr>
              <w:ind w:left="207"/>
              <w:rPr>
                <w:sz w:val="24"/>
                <w:szCs w:val="24"/>
              </w:rPr>
            </w:pPr>
            <w:r w:rsidRPr="00E55EF1">
              <w:rPr>
                <w:sz w:val="24"/>
                <w:szCs w:val="24"/>
              </w:rPr>
              <w:t>Industry</w:t>
            </w:r>
          </w:p>
          <w:p w:rsidR="00A316A3" w:rsidRPr="00E55EF1" w:rsidRDefault="00A316A3" w:rsidP="00A316A3">
            <w:pPr>
              <w:ind w:left="192"/>
              <w:rPr>
                <w:sz w:val="24"/>
                <w:szCs w:val="24"/>
              </w:rPr>
            </w:pPr>
            <w:r w:rsidRPr="00E55EF1">
              <w:rPr>
                <w:sz w:val="24"/>
                <w:szCs w:val="24"/>
              </w:rPr>
              <w:t>Certificate</w:t>
            </w:r>
          </w:p>
        </w:tc>
      </w:tr>
    </w:tbl>
    <w:p w:rsidR="00E55EF1" w:rsidRDefault="00E55EF1" w:rsidP="00BA3E31">
      <w:pPr>
        <w:rPr>
          <w:highlight w:val="green"/>
        </w:rPr>
      </w:pPr>
    </w:p>
    <w:p w:rsidR="001E1351" w:rsidRDefault="001E1351" w:rsidP="00BA3E31">
      <w:r w:rsidRPr="001E1351">
        <w:rPr>
          <w:highlight w:val="green"/>
        </w:rPr>
        <w:t>College- Ready</w:t>
      </w:r>
      <w:r>
        <w:t xml:space="preserve">- A student meets the benchmarks on the ACT (18 for English, 20 for Reading, and 19 for Mathematics) or passed either Compass (74 for English, 85 for Reading, and 36 for Mathematics) or KYOTE (6 for Writing, 20 for Reading, 22 for College Ready Math and 14 for College Algebra) college placement tests.  Students who fail one or more measures on the ACT but pass the corresponding measure on one of the placement tests are college-ready. </w:t>
      </w:r>
    </w:p>
    <w:p w:rsidR="00E55EF1" w:rsidRDefault="001E1351" w:rsidP="00E55EF1">
      <w:r w:rsidRPr="00E55EF1">
        <w:rPr>
          <w:highlight w:val="yellow"/>
          <w:shd w:val="clear" w:color="auto" w:fill="FFFF00"/>
        </w:rPr>
        <w:t>Career-Ready</w:t>
      </w:r>
      <w:r>
        <w:t>- A student is preparatory (has completed two credits and is enrolled in a third credit) for a CTE career pathway has received either an approved industry certification or Kentucky Occupational Skill Standards Assessment (</w:t>
      </w:r>
      <w:r w:rsidRPr="001E1351">
        <w:rPr>
          <w:b/>
        </w:rPr>
        <w:t>KOSSA</w:t>
      </w:r>
      <w:r>
        <w:t xml:space="preserve">) certificate (with a score of 70) related to his or her career major, </w:t>
      </w:r>
      <w:r w:rsidRPr="001E1351">
        <w:rPr>
          <w:b/>
        </w:rPr>
        <w:t>AND</w:t>
      </w:r>
      <w:r>
        <w:t xml:space="preserve"> has met the benchmark on </w:t>
      </w:r>
      <w:r w:rsidRPr="001E1351">
        <w:rPr>
          <w:b/>
        </w:rPr>
        <w:t>ACT WorkKeys</w:t>
      </w:r>
      <w:r w:rsidR="00E55EF1">
        <w:t xml:space="preserve"> (75 </w:t>
      </w:r>
      <w:r>
        <w:t xml:space="preserve">for each part: Applied Mathematics, Locating Information, and Reading for Information) or on the </w:t>
      </w:r>
      <w:r w:rsidRPr="001E1351">
        <w:rPr>
          <w:b/>
        </w:rPr>
        <w:t xml:space="preserve">ASVAB </w:t>
      </w:r>
      <w:r>
        <w:t>(score of 50).</w:t>
      </w:r>
    </w:p>
    <w:p w:rsidR="001E1351" w:rsidRPr="001E1351" w:rsidRDefault="001E1351" w:rsidP="00E55EF1">
      <w:r w:rsidRPr="00E55EF1">
        <w:rPr>
          <w:shd w:val="clear" w:color="auto" w:fill="95B3D7" w:themeFill="accent1" w:themeFillTint="99"/>
        </w:rPr>
        <w:t>College and Career Ready</w:t>
      </w:r>
      <w:r w:rsidR="00E55EF1">
        <w:t>- A CCR student is preparatory for a CTE career pathway, has received either and approved industry certification or KOSSA certificate, and has qualified to be college-ready based on the above definition.</w:t>
      </w:r>
    </w:p>
    <w:p w:rsidR="001E1351" w:rsidRDefault="001E1351" w:rsidP="00BA3E31"/>
    <w:sectPr w:rsidR="001E1351" w:rsidSect="00A316A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E31"/>
    <w:rsid w:val="001E1351"/>
    <w:rsid w:val="00487B30"/>
    <w:rsid w:val="007248A9"/>
    <w:rsid w:val="00931377"/>
    <w:rsid w:val="00A316A3"/>
    <w:rsid w:val="00A44817"/>
    <w:rsid w:val="00BA3E31"/>
    <w:rsid w:val="00E55EF1"/>
    <w:rsid w:val="00F11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Ellen - Dean of Students</dc:creator>
  <cp:lastModifiedBy>michael.cole</cp:lastModifiedBy>
  <cp:revision>2</cp:revision>
  <cp:lastPrinted>2014-11-13T19:01:00Z</cp:lastPrinted>
  <dcterms:created xsi:type="dcterms:W3CDTF">2014-11-19T14:18:00Z</dcterms:created>
  <dcterms:modified xsi:type="dcterms:W3CDTF">2014-11-19T14:18:00Z</dcterms:modified>
</cp:coreProperties>
</file>